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45" w:rsidRPr="00697D2E" w:rsidRDefault="00697D2E">
      <w:pPr>
        <w:pStyle w:val="BodyA"/>
        <w:jc w:val="center"/>
        <w:rPr>
          <w:sz w:val="80"/>
          <w:szCs w:val="80"/>
          <w:lang w:val="nl-NL"/>
        </w:rPr>
      </w:pPr>
      <w:r w:rsidRPr="00697D2E">
        <w:rPr>
          <w:sz w:val="80"/>
          <w:szCs w:val="80"/>
          <w:lang w:val="nl-NL"/>
        </w:rPr>
        <w:t xml:space="preserve">Happy: koken en het hart </w:t>
      </w:r>
    </w:p>
    <w:p w:rsidR="009B5545" w:rsidRPr="00697D2E" w:rsidRDefault="00697D2E">
      <w:pPr>
        <w:pStyle w:val="BodyA"/>
        <w:jc w:val="center"/>
        <w:rPr>
          <w:sz w:val="32"/>
          <w:szCs w:val="32"/>
          <w:lang w:val="nl-NL"/>
        </w:rPr>
      </w:pPr>
      <w:r w:rsidRPr="00697D2E">
        <w:rPr>
          <w:sz w:val="32"/>
          <w:szCs w:val="32"/>
          <w:lang w:val="nl-NL"/>
        </w:rPr>
        <w:t>Lezing en kookworkshop voor huisartsen/POH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Default="00697D2E">
      <w:pPr>
        <w:pStyle w:val="BodyA"/>
        <w:jc w:val="center"/>
        <w:rPr>
          <w:sz w:val="26"/>
          <w:szCs w:val="26"/>
        </w:rPr>
      </w:pPr>
      <w:proofErr w:type="spellStart"/>
      <w:r>
        <w:t>G</w:t>
      </w:r>
      <w:r>
        <w:rPr>
          <w:sz w:val="26"/>
          <w:szCs w:val="26"/>
        </w:rPr>
        <w:t>eaccrediteerd</w:t>
      </w:r>
      <w:proofErr w:type="spellEnd"/>
      <w:r>
        <w:rPr>
          <w:sz w:val="26"/>
          <w:szCs w:val="26"/>
        </w:rPr>
        <w:t xml:space="preserve"> ism WDH</w:t>
      </w:r>
      <w:bookmarkStart w:id="0" w:name="_GoBack"/>
      <w:bookmarkEnd w:id="0"/>
      <w:r>
        <w:rPr>
          <w:sz w:val="26"/>
          <w:szCs w:val="26"/>
        </w:rPr>
        <w:t xml:space="preserve"> Midden Nederland en CCN.</w:t>
      </w:r>
    </w:p>
    <w:p w:rsidR="009B5545" w:rsidRDefault="009B5545">
      <w:pPr>
        <w:pStyle w:val="BodyA"/>
        <w:jc w:val="center"/>
      </w:pPr>
    </w:p>
    <w:p w:rsidR="009B5545" w:rsidRPr="00697D2E" w:rsidRDefault="00697D2E">
      <w:pPr>
        <w:pStyle w:val="BodyA"/>
        <w:jc w:val="center"/>
        <w:rPr>
          <w:sz w:val="26"/>
          <w:szCs w:val="26"/>
          <w:lang w:val="nl-NL"/>
        </w:rPr>
      </w:pPr>
      <w:r w:rsidRPr="00697D2E">
        <w:rPr>
          <w:sz w:val="26"/>
          <w:szCs w:val="26"/>
          <w:lang w:val="nl-NL"/>
        </w:rPr>
        <w:t>Locatie:  Kook studio Smaak Utrecht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697D2E">
      <w:pPr>
        <w:pStyle w:val="BodyA"/>
        <w:rPr>
          <w:lang w:val="nl-NL"/>
        </w:rPr>
      </w:pPr>
      <w:r w:rsidRPr="00697D2E">
        <w:rPr>
          <w:lang w:val="nl-NL"/>
        </w:rPr>
        <w:t>Recente studies laten zien dat het eten van meer koolhydraten en minder vetten geassocieerd is met</w:t>
      </w:r>
      <w:r w:rsidRPr="00697D2E">
        <w:rPr>
          <w:lang w:val="nl-NL"/>
        </w:rPr>
        <w:t xml:space="preserve"> een korter leven (</w:t>
      </w:r>
      <w:proofErr w:type="spellStart"/>
      <w:r w:rsidRPr="00697D2E">
        <w:rPr>
          <w:lang w:val="nl-NL"/>
        </w:rPr>
        <w:t>Yusuf</w:t>
      </w:r>
      <w:proofErr w:type="spellEnd"/>
      <w:r w:rsidRPr="00697D2E">
        <w:rPr>
          <w:lang w:val="nl-NL"/>
        </w:rPr>
        <w:t xml:space="preserve">, Lancet 2017). De uitkomsten van deze studie gaan in tegen vrijwel alle nationale en internationale </w:t>
      </w:r>
      <w:proofErr w:type="spellStart"/>
      <w:r w:rsidRPr="00697D2E">
        <w:rPr>
          <w:lang w:val="nl-NL"/>
        </w:rPr>
        <w:t>guidelines</w:t>
      </w:r>
      <w:proofErr w:type="spellEnd"/>
      <w:r w:rsidRPr="00697D2E">
        <w:rPr>
          <w:lang w:val="nl-NL"/>
        </w:rPr>
        <w:t>. Dit maakt het geven van advies lastig. Wat is gezond en wat niet? Een andere recente studie laat zien dat 50% van pati</w:t>
      </w:r>
      <w:r w:rsidRPr="00697D2E">
        <w:rPr>
          <w:rFonts w:ascii="Arial Unicode MS" w:hAnsi="Helvetica"/>
          <w:lang w:val="nl-NL"/>
        </w:rPr>
        <w:t>ë</w:t>
      </w:r>
      <w:r w:rsidRPr="00697D2E">
        <w:rPr>
          <w:lang w:val="nl-NL"/>
        </w:rPr>
        <w:t>nten met diabetes van hun ziekte af kunnen komen de juiste voeding (Taylor, Lancet 2017). Kunnen we Diabetes omkeren door de juiste voeding?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697D2E">
      <w:pPr>
        <w:pStyle w:val="BodyA"/>
        <w:rPr>
          <w:lang w:val="nl-NL"/>
        </w:rPr>
      </w:pPr>
      <w:r w:rsidRPr="00697D2E">
        <w:rPr>
          <w:lang w:val="nl-NL"/>
        </w:rPr>
        <w:t xml:space="preserve">In de kookworkshop </w:t>
      </w:r>
      <w:r w:rsidRPr="00697D2E">
        <w:rPr>
          <w:b/>
          <w:bCs/>
          <w:lang w:val="nl-NL"/>
        </w:rPr>
        <w:t>Happy: koken en het hart</w:t>
      </w:r>
      <w:r w:rsidRPr="00697D2E">
        <w:rPr>
          <w:lang w:val="nl-NL"/>
        </w:rPr>
        <w:t>, gaan we in het eerste uur van start met een lezing over dit onderwerp</w:t>
      </w:r>
      <w:r w:rsidRPr="00697D2E">
        <w:rPr>
          <w:lang w:val="nl-NL"/>
        </w:rPr>
        <w:t xml:space="preserve"> door</w:t>
      </w:r>
      <w:r w:rsidRPr="00697D2E">
        <w:rPr>
          <w:lang w:val="nl-NL"/>
        </w:rPr>
        <w:t xml:space="preserve"> Prof Dr Leonard </w:t>
      </w:r>
      <w:proofErr w:type="spellStart"/>
      <w:r w:rsidRPr="00697D2E">
        <w:rPr>
          <w:lang w:val="nl-NL"/>
        </w:rPr>
        <w:t>Hofstra</w:t>
      </w:r>
      <w:proofErr w:type="spellEnd"/>
      <w:r w:rsidRPr="00697D2E">
        <w:rPr>
          <w:lang w:val="nl-NL"/>
        </w:rPr>
        <w:t xml:space="preserve">, cardioloog van Cardiologie Centrum Utrecht en hoogleraar Cardiologie aan het VUMC. Hij zal in zijn presentatie ingaan op laatste inzichten over gezonde voeding en ook de voeding richtlijnen bespreken. 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697D2E">
      <w:pPr>
        <w:pStyle w:val="BodyA"/>
        <w:rPr>
          <w:lang w:val="nl-NL"/>
        </w:rPr>
      </w:pPr>
      <w:r w:rsidRPr="00697D2E">
        <w:rPr>
          <w:lang w:val="nl-NL"/>
        </w:rPr>
        <w:t>Het 2e blok zal bestaa</w:t>
      </w:r>
      <w:r w:rsidRPr="00697D2E">
        <w:rPr>
          <w:lang w:val="nl-NL"/>
        </w:rPr>
        <w:t>n uit een actieve kook workshop, waarbij in groepen van 4-5 deelnemers de verschillende gangen van het menu zullen worden bereid. Tijdens de workshop zullen de verschillende elementen uit de lezing terug komen.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Default="00697D2E">
      <w:pPr>
        <w:pStyle w:val="BodyA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Leerdoelen</w:t>
      </w:r>
      <w:proofErr w:type="spellEnd"/>
      <w:r>
        <w:rPr>
          <w:b/>
          <w:bCs/>
          <w:sz w:val="26"/>
          <w:szCs w:val="26"/>
        </w:rPr>
        <w:t>:</w:t>
      </w:r>
    </w:p>
    <w:p w:rsidR="009B5545" w:rsidRDefault="009B5545">
      <w:pPr>
        <w:pStyle w:val="BodyA"/>
      </w:pPr>
    </w:p>
    <w:p w:rsidR="009B5545" w:rsidRDefault="00697D2E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Huidige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over </w:t>
      </w:r>
      <w:proofErr w:type="spellStart"/>
      <w:r>
        <w:t>voedin</w:t>
      </w:r>
      <w:r>
        <w:t>g</w:t>
      </w:r>
      <w:proofErr w:type="spellEnd"/>
    </w:p>
    <w:p w:rsidR="009B5545" w:rsidRPr="00697D2E" w:rsidRDefault="00697D2E">
      <w:pPr>
        <w:pStyle w:val="BodyA"/>
        <w:numPr>
          <w:ilvl w:val="0"/>
          <w:numId w:val="2"/>
        </w:numPr>
        <w:rPr>
          <w:rFonts w:eastAsia="Helvetica" w:hAnsi="Helvetica" w:cs="Helvetica"/>
          <w:lang w:val="nl-NL"/>
        </w:rPr>
      </w:pPr>
      <w:r w:rsidRPr="00697D2E">
        <w:rPr>
          <w:lang w:val="nl-NL"/>
        </w:rPr>
        <w:t xml:space="preserve">Voorbij de </w:t>
      </w:r>
      <w:proofErr w:type="spellStart"/>
      <w:r w:rsidRPr="00697D2E">
        <w:rPr>
          <w:lang w:val="nl-NL"/>
        </w:rPr>
        <w:t>guidelines</w:t>
      </w:r>
      <w:proofErr w:type="spellEnd"/>
      <w:r w:rsidRPr="00697D2E">
        <w:rPr>
          <w:lang w:val="nl-NL"/>
        </w:rPr>
        <w:t>: Nieuwste inzichten over voeding en interventies</w:t>
      </w:r>
    </w:p>
    <w:p w:rsidR="009B5545" w:rsidRDefault="00697D2E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Verbetering</w:t>
      </w:r>
      <w:proofErr w:type="spellEnd"/>
      <w:r>
        <w:t xml:space="preserve"> </w:t>
      </w:r>
      <w:proofErr w:type="spellStart"/>
      <w:r>
        <w:t>lipiden</w:t>
      </w:r>
      <w:proofErr w:type="spellEnd"/>
      <w:r>
        <w:t xml:space="preserve"> </w:t>
      </w:r>
      <w:proofErr w:type="spellStart"/>
      <w:r>
        <w:t>profiel</w:t>
      </w:r>
      <w:proofErr w:type="spellEnd"/>
      <w:r>
        <w:t xml:space="preserve"> door </w:t>
      </w:r>
      <w:proofErr w:type="spellStart"/>
      <w:r>
        <w:t>voeding</w:t>
      </w:r>
      <w:proofErr w:type="spellEnd"/>
      <w:r>
        <w:t xml:space="preserve"> </w:t>
      </w:r>
    </w:p>
    <w:p w:rsidR="009B5545" w:rsidRPr="00697D2E" w:rsidRDefault="00697D2E">
      <w:pPr>
        <w:pStyle w:val="BodyA"/>
        <w:numPr>
          <w:ilvl w:val="0"/>
          <w:numId w:val="2"/>
        </w:numPr>
        <w:rPr>
          <w:rFonts w:eastAsia="Helvetica" w:hAnsi="Helvetica" w:cs="Helvetica"/>
          <w:lang w:val="nl-NL"/>
        </w:rPr>
      </w:pPr>
      <w:r w:rsidRPr="00697D2E">
        <w:rPr>
          <w:lang w:val="nl-NL"/>
        </w:rPr>
        <w:t>Voeding en diabetes: diabetes omkeren?</w:t>
      </w:r>
    </w:p>
    <w:p w:rsidR="009B5545" w:rsidRPr="00697D2E" w:rsidRDefault="00697D2E">
      <w:pPr>
        <w:pStyle w:val="BodyA"/>
        <w:numPr>
          <w:ilvl w:val="0"/>
          <w:numId w:val="2"/>
        </w:numPr>
        <w:rPr>
          <w:rFonts w:eastAsia="Helvetica" w:hAnsi="Helvetica" w:cs="Helvetica"/>
          <w:lang w:val="nl-NL"/>
        </w:rPr>
      </w:pPr>
      <w:r w:rsidRPr="00697D2E">
        <w:rPr>
          <w:lang w:val="nl-NL"/>
        </w:rPr>
        <w:t>Bloeddruk verlagen door voeding? Tips uit het DASH programma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697D2E">
      <w:pPr>
        <w:pStyle w:val="BodyA"/>
        <w:rPr>
          <w:lang w:val="nl-NL"/>
        </w:rPr>
      </w:pPr>
      <w:r w:rsidRPr="00697D2E">
        <w:rPr>
          <w:b/>
          <w:bCs/>
          <w:sz w:val="26"/>
          <w:szCs w:val="26"/>
          <w:lang w:val="nl-NL"/>
        </w:rPr>
        <w:t>Programma: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697D2E">
      <w:pPr>
        <w:pStyle w:val="BodyA"/>
        <w:rPr>
          <w:lang w:val="nl-NL"/>
        </w:rPr>
      </w:pPr>
      <w:r w:rsidRPr="00697D2E">
        <w:rPr>
          <w:lang w:val="nl-NL"/>
        </w:rPr>
        <w:t>18.00: welkom en ultra gezo</w:t>
      </w:r>
      <w:r w:rsidRPr="00697D2E">
        <w:rPr>
          <w:lang w:val="nl-NL"/>
        </w:rPr>
        <w:t>nde Tapas en Snacks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697D2E">
      <w:pPr>
        <w:pStyle w:val="BodyA"/>
        <w:rPr>
          <w:lang w:val="nl-NL"/>
        </w:rPr>
      </w:pPr>
      <w:r w:rsidRPr="00697D2E">
        <w:rPr>
          <w:lang w:val="nl-NL"/>
        </w:rPr>
        <w:t xml:space="preserve">18.15: opening door Leonard Hofstra lezing </w:t>
      </w:r>
      <w:r w:rsidRPr="00697D2E">
        <w:rPr>
          <w:lang w:val="nl-NL"/>
        </w:rPr>
        <w:t xml:space="preserve"> </w:t>
      </w:r>
      <w:r w:rsidRPr="00697D2E">
        <w:rPr>
          <w:rFonts w:ascii="Arial Unicode MS" w:hAnsi="Helvetica"/>
          <w:lang w:val="nl-NL"/>
        </w:rPr>
        <w:t>“</w:t>
      </w:r>
      <w:r w:rsidRPr="00697D2E">
        <w:rPr>
          <w:lang w:val="nl-NL"/>
        </w:rPr>
        <w:t>Vet Gezond</w:t>
      </w:r>
      <w:r w:rsidRPr="00697D2E">
        <w:rPr>
          <w:rFonts w:ascii="Arial Unicode MS" w:hAnsi="Helvetica"/>
          <w:lang w:val="nl-NL"/>
        </w:rPr>
        <w:t>”</w:t>
      </w:r>
      <w:r w:rsidRPr="00697D2E">
        <w:rPr>
          <w:lang w:val="nl-NL"/>
        </w:rPr>
        <w:t>: wat is gezonde voeding, nieuwste inzichten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697D2E">
      <w:pPr>
        <w:pStyle w:val="BodyA"/>
        <w:rPr>
          <w:lang w:val="nl-NL"/>
        </w:rPr>
      </w:pPr>
      <w:r w:rsidRPr="00697D2E">
        <w:rPr>
          <w:lang w:val="nl-NL"/>
        </w:rPr>
        <w:t xml:space="preserve">19.15: start kookworkshop onder leiding van  Yolanda Bounida en Leonard Hofstra. Verschillende elementen uit de lezing komen terug </w:t>
      </w:r>
      <w:r w:rsidRPr="00697D2E">
        <w:rPr>
          <w:lang w:val="nl-NL"/>
        </w:rPr>
        <w:t>tijdens de kookworkshop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697D2E">
      <w:pPr>
        <w:pStyle w:val="BodyA"/>
        <w:rPr>
          <w:lang w:val="nl-NL"/>
        </w:rPr>
      </w:pPr>
      <w:r w:rsidRPr="00697D2E">
        <w:rPr>
          <w:lang w:val="nl-NL"/>
        </w:rPr>
        <w:t>20.15: Dinner en wine (Tannat). Bij elk gerecht volgt toelichting over de impact hiervan om de belangrijkste risicofactoren voor Cardiovasculair Risico Management</w:t>
      </w:r>
    </w:p>
    <w:p w:rsidR="009B5545" w:rsidRPr="00697D2E" w:rsidRDefault="009B5545">
      <w:pPr>
        <w:pStyle w:val="BodyA"/>
        <w:rPr>
          <w:lang w:val="nl-NL"/>
        </w:rPr>
      </w:pPr>
    </w:p>
    <w:p w:rsidR="009B5545" w:rsidRPr="00697D2E" w:rsidRDefault="009B5545">
      <w:pPr>
        <w:pStyle w:val="BodyA"/>
        <w:rPr>
          <w:lang w:val="nl-NL"/>
        </w:rPr>
      </w:pPr>
    </w:p>
    <w:p w:rsidR="009B5545" w:rsidRDefault="00697D2E">
      <w:pPr>
        <w:pStyle w:val="BodyA"/>
        <w:rPr>
          <w:rFonts w:ascii="Times" w:eastAsia="Times" w:hAnsi="Times" w:cs="Times"/>
        </w:rPr>
      </w:pPr>
      <w:r w:rsidRPr="00697D2E">
        <w:rPr>
          <w:b/>
          <w:bCs/>
          <w:lang w:val="nl-NL"/>
        </w:rPr>
        <w:t xml:space="preserve">Voorbereiding door deelnemers: </w:t>
      </w:r>
      <w:r w:rsidRPr="00697D2E">
        <w:rPr>
          <w:i/>
          <w:iCs/>
          <w:lang w:val="nl-NL"/>
        </w:rPr>
        <w:t>J Am Coll Cardiol</w:t>
      </w:r>
      <w:r w:rsidRPr="00697D2E">
        <w:rPr>
          <w:lang w:val="nl-NL"/>
        </w:rPr>
        <w:t xml:space="preserve">. </w:t>
      </w:r>
      <w:r>
        <w:t xml:space="preserve">2015 October 6; </w:t>
      </w:r>
      <w:r>
        <w:t>66(14): 1590</w:t>
      </w:r>
      <w:r>
        <w:rPr>
          <w:rFonts w:ascii="Arial Unicode MS" w:hAnsi="Helvetica"/>
        </w:rPr>
        <w:t>–</w:t>
      </w:r>
      <w:r>
        <w:t xml:space="preserve">1614. Food Consumption and its impact on Cardiovascular Disease: Importance of Solutions focused on the globalized food system: A Report from the Workshop convened by the World Heart Federation </w:t>
      </w:r>
    </w:p>
    <w:p w:rsidR="009B5545" w:rsidRPr="00697D2E" w:rsidRDefault="009B5545">
      <w:pPr>
        <w:pStyle w:val="Default"/>
        <w:spacing w:after="240"/>
        <w:rPr>
          <w:lang w:val="en-US"/>
        </w:rPr>
      </w:pPr>
    </w:p>
    <w:p w:rsidR="009B5545" w:rsidRDefault="009B5545">
      <w:pPr>
        <w:pStyle w:val="BodyA"/>
      </w:pPr>
    </w:p>
    <w:sectPr w:rsidR="009B554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7D2E">
      <w:r>
        <w:separator/>
      </w:r>
    </w:p>
  </w:endnote>
  <w:endnote w:type="continuationSeparator" w:id="0">
    <w:p w:rsidR="00000000" w:rsidRDefault="006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45" w:rsidRDefault="009B554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7D2E">
      <w:r>
        <w:separator/>
      </w:r>
    </w:p>
  </w:footnote>
  <w:footnote w:type="continuationSeparator" w:id="0">
    <w:p w:rsidR="00000000" w:rsidRDefault="0069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45" w:rsidRDefault="009B554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527"/>
    <w:multiLevelType w:val="multilevel"/>
    <w:tmpl w:val="76029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7BE84CDD"/>
    <w:multiLevelType w:val="multilevel"/>
    <w:tmpl w:val="191EFB8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5"/>
    <w:rsid w:val="00697D2E"/>
    <w:rsid w:val="009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734E-2D2E-4650-81B3-3BD470DA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2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Marjan Stouthart - WDH MN</cp:lastModifiedBy>
  <cp:revision>2</cp:revision>
  <dcterms:created xsi:type="dcterms:W3CDTF">2017-12-14T09:12:00Z</dcterms:created>
  <dcterms:modified xsi:type="dcterms:W3CDTF">2017-12-14T09:12:00Z</dcterms:modified>
</cp:coreProperties>
</file>